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60" w:lineRule="exact"/>
        <w:jc w:val="left"/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附件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spacing w:before="100" w:beforeAutospacing="1" w:after="100" w:afterAutospacing="1" w:line="560" w:lineRule="exact"/>
        <w:jc w:val="center"/>
        <w:rPr>
          <w:rFonts w:ascii="方正小标宋简体" w:hAnsi="黑体" w:eastAsia="方正小标宋简体" w:cs="黑体"/>
          <w:bCs/>
          <w:sz w:val="44"/>
          <w:szCs w:val="36"/>
        </w:rPr>
      </w:pPr>
      <w:r>
        <w:rPr>
          <w:rFonts w:hint="eastAsia" w:ascii="方正小标宋简体" w:hAnsi="黑体" w:eastAsia="方正小标宋简体" w:cs="黑体"/>
          <w:bCs/>
          <w:sz w:val="44"/>
          <w:szCs w:val="36"/>
        </w:rPr>
        <w:t>“XXXX”</w:t>
      </w:r>
      <w:r>
        <w:rPr>
          <w:rFonts w:hint="eastAsia" w:ascii="方正小标宋简体" w:hAnsi="Times New Roman" w:eastAsia="方正小标宋简体" w:cs="黑体"/>
          <w:sz w:val="44"/>
          <w:szCs w:val="36"/>
        </w:rPr>
        <w:t>课程思政教学案例</w:t>
      </w:r>
      <w:r>
        <w:rPr>
          <w:rFonts w:hint="eastAsia" w:ascii="方正小标宋简体" w:hAnsi="黑体" w:eastAsia="方正小标宋简体" w:cs="黑体"/>
          <w:bCs/>
          <w:sz w:val="44"/>
          <w:szCs w:val="36"/>
        </w:rPr>
        <w:t>（案例名称）</w:t>
      </w:r>
    </w:p>
    <w:p>
      <w:pPr>
        <w:widowControl/>
        <w:jc w:val="center"/>
        <w:rPr>
          <w:rFonts w:ascii="仿宋" w:hAnsi="仿宋" w:eastAsia="仿宋" w:cs="黑体"/>
          <w:sz w:val="28"/>
          <w:szCs w:val="24"/>
        </w:rPr>
      </w:pPr>
      <w:r>
        <w:rPr>
          <w:rFonts w:hint="eastAsia" w:ascii="仿宋" w:hAnsi="仿宋" w:eastAsia="仿宋" w:cs="黑体"/>
          <w:sz w:val="28"/>
          <w:szCs w:val="24"/>
        </w:rPr>
        <w:t>XXX（</w:t>
      </w:r>
      <w:r>
        <w:rPr>
          <w:rFonts w:hint="eastAsia" w:ascii="仿宋" w:hAnsi="仿宋" w:eastAsia="仿宋" w:cs="黑体"/>
          <w:sz w:val="28"/>
          <w:szCs w:val="24"/>
          <w:lang w:eastAsia="zh-CN"/>
        </w:rPr>
        <w:t>学院</w:t>
      </w:r>
      <w:r>
        <w:rPr>
          <w:rFonts w:hint="eastAsia" w:ascii="仿宋" w:hAnsi="仿宋" w:eastAsia="仿宋" w:cs="黑体"/>
          <w:sz w:val="28"/>
          <w:szCs w:val="24"/>
        </w:rPr>
        <w:t>）  XXX（教师姓名）</w:t>
      </w:r>
    </w:p>
    <w:p>
      <w:pPr>
        <w:widowControl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360" w:lineRule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一、案例综述  </w:t>
      </w:r>
    </w:p>
    <w:p>
      <w:pPr>
        <w:pStyle w:val="2"/>
        <w:shd w:val="clear" w:color="auto" w:fill="FFFFFF"/>
        <w:spacing w:before="0" w:beforeAutospacing="0" w:after="0" w:afterAutospacing="0" w:line="360" w:lineRule="auto"/>
        <w:jc w:val="both"/>
        <w:rPr>
          <w:rFonts w:ascii="仿宋" w:hAnsi="仿宋" w:eastAsia="仿宋" w:cs="Times New Roman"/>
          <w:kern w:val="2"/>
          <w:sz w:val="28"/>
          <w:szCs w:val="28"/>
        </w:rPr>
      </w:pPr>
      <w:r>
        <w:rPr>
          <w:rFonts w:hint="eastAsia" w:ascii="仿宋" w:hAnsi="仿宋" w:eastAsia="仿宋" w:cs="Times New Roman"/>
          <w:kern w:val="2"/>
          <w:sz w:val="28"/>
          <w:szCs w:val="28"/>
        </w:rPr>
        <w:t>（</w:t>
      </w:r>
      <w:r>
        <w:rPr>
          <w:rFonts w:ascii="仿宋" w:hAnsi="仿宋" w:eastAsia="仿宋" w:cs="Times New Roman"/>
          <w:kern w:val="2"/>
          <w:sz w:val="28"/>
          <w:szCs w:val="28"/>
        </w:rPr>
        <w:t>包含课程名称、</w:t>
      </w:r>
      <w:r>
        <w:rPr>
          <w:rFonts w:hint="eastAsia" w:ascii="仿宋" w:hAnsi="仿宋" w:eastAsia="仿宋" w:cs="Times New Roman"/>
          <w:kern w:val="2"/>
          <w:sz w:val="28"/>
          <w:szCs w:val="28"/>
        </w:rPr>
        <w:t>具体</w:t>
      </w:r>
      <w:r>
        <w:rPr>
          <w:rFonts w:ascii="仿宋" w:hAnsi="仿宋" w:eastAsia="仿宋" w:cs="Times New Roman"/>
          <w:kern w:val="2"/>
          <w:sz w:val="28"/>
          <w:szCs w:val="28"/>
        </w:rPr>
        <w:t>章节、教学目标、</w:t>
      </w:r>
      <w:r>
        <w:rPr>
          <w:rFonts w:hint="eastAsia" w:ascii="仿宋" w:hAnsi="仿宋" w:eastAsia="仿宋" w:cs="Times New Roman"/>
          <w:kern w:val="2"/>
          <w:sz w:val="28"/>
          <w:szCs w:val="28"/>
        </w:rPr>
        <w:t>特色</w:t>
      </w:r>
      <w:r>
        <w:rPr>
          <w:rFonts w:ascii="仿宋" w:hAnsi="仿宋" w:eastAsia="仿宋" w:cs="Times New Roman"/>
          <w:kern w:val="2"/>
          <w:sz w:val="28"/>
          <w:szCs w:val="28"/>
        </w:rPr>
        <w:t>创新、案例意义等</w:t>
      </w:r>
      <w:r>
        <w:rPr>
          <w:rFonts w:hint="eastAsia" w:ascii="仿宋" w:hAnsi="仿宋" w:eastAsia="仿宋" w:cs="Times New Roman"/>
          <w:kern w:val="2"/>
          <w:sz w:val="28"/>
          <w:szCs w:val="28"/>
        </w:rPr>
        <w:t>）</w:t>
      </w:r>
    </w:p>
    <w:p>
      <w:pPr>
        <w:snapToGrid w:val="0"/>
        <w:spacing w:line="360" w:lineRule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二、案例解析</w:t>
      </w:r>
    </w:p>
    <w:p>
      <w:pPr>
        <w:pStyle w:val="2"/>
        <w:shd w:val="clear" w:color="auto" w:fill="FFFFFF"/>
        <w:snapToGrid w:val="0"/>
        <w:spacing w:before="0" w:beforeAutospacing="0" w:after="0" w:afterAutospacing="0" w:line="360" w:lineRule="auto"/>
        <w:ind w:firstLine="1"/>
        <w:jc w:val="both"/>
        <w:rPr>
          <w:rFonts w:ascii="楷体" w:hAnsi="楷体" w:eastAsia="楷体" w:cs="仿宋_GB2312"/>
          <w:b/>
          <w:color w:val="000000"/>
          <w:sz w:val="28"/>
          <w:szCs w:val="28"/>
          <w:shd w:val="clear" w:color="auto" w:fill="FFFFFF"/>
        </w:rPr>
      </w:pPr>
      <w:r>
        <w:rPr>
          <w:rFonts w:hint="eastAsia" w:ascii="楷体" w:hAnsi="楷体" w:eastAsia="楷体" w:cs="仿宋_GB2312"/>
          <w:b/>
          <w:color w:val="000000"/>
          <w:sz w:val="28"/>
          <w:szCs w:val="28"/>
          <w:shd w:val="clear" w:color="auto" w:fill="FFFFFF"/>
        </w:rPr>
        <w:t>（一）思路与理念</w:t>
      </w:r>
    </w:p>
    <w:p>
      <w:pPr>
        <w:pStyle w:val="2"/>
        <w:shd w:val="clear" w:color="auto" w:fill="FFFFFF"/>
        <w:snapToGrid w:val="0"/>
        <w:spacing w:before="0" w:beforeAutospacing="0" w:after="0" w:afterAutospacing="0" w:line="360" w:lineRule="auto"/>
        <w:ind w:firstLine="1"/>
        <w:jc w:val="both"/>
        <w:rPr>
          <w:rFonts w:ascii="楷体" w:hAnsi="楷体" w:eastAsia="楷体" w:cs="仿宋_GB2312"/>
          <w:b/>
          <w:color w:val="000000"/>
          <w:sz w:val="28"/>
          <w:szCs w:val="28"/>
          <w:shd w:val="clear" w:color="auto" w:fill="FFFFFF"/>
        </w:rPr>
      </w:pPr>
      <w:r>
        <w:rPr>
          <w:rFonts w:hint="eastAsia" w:ascii="楷体" w:hAnsi="楷体" w:eastAsia="楷体" w:cs="仿宋_GB2312"/>
          <w:b/>
          <w:color w:val="000000"/>
          <w:sz w:val="28"/>
          <w:szCs w:val="28"/>
          <w:shd w:val="clear" w:color="auto" w:fill="FFFFFF"/>
        </w:rPr>
        <w:t>（二）设计与实施</w:t>
      </w:r>
    </w:p>
    <w:p>
      <w:pPr>
        <w:snapToGrid w:val="0"/>
        <w:spacing w:line="360" w:lineRule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三、案例反思</w:t>
      </w:r>
    </w:p>
    <w:p>
      <w:pPr>
        <w:pStyle w:val="2"/>
        <w:shd w:val="clear" w:color="auto" w:fill="FFFFFF"/>
        <w:snapToGrid w:val="0"/>
        <w:spacing w:before="0" w:beforeAutospacing="0" w:after="0" w:afterAutospacing="0" w:line="360" w:lineRule="auto"/>
        <w:jc w:val="both"/>
        <w:rPr>
          <w:rFonts w:ascii="楷体" w:hAnsi="楷体" w:eastAsia="楷体" w:cs="仿宋_GB2312"/>
          <w:b/>
          <w:color w:val="000000"/>
          <w:sz w:val="28"/>
          <w:szCs w:val="28"/>
          <w:shd w:val="clear" w:color="auto" w:fill="FFFFFF"/>
        </w:rPr>
      </w:pPr>
      <w:r>
        <w:rPr>
          <w:rFonts w:hint="eastAsia" w:ascii="楷体" w:hAnsi="楷体" w:eastAsia="楷体" w:cs="仿宋_GB2312"/>
          <w:b/>
          <w:color w:val="000000"/>
          <w:sz w:val="28"/>
          <w:szCs w:val="28"/>
          <w:shd w:val="clear" w:color="auto" w:fill="FFFFFF"/>
        </w:rPr>
        <w:t>（一）效果与评价</w:t>
      </w:r>
    </w:p>
    <w:p>
      <w:pPr>
        <w:pStyle w:val="2"/>
        <w:shd w:val="clear" w:color="auto" w:fill="FFFFFF"/>
        <w:snapToGrid w:val="0"/>
        <w:spacing w:before="0" w:beforeAutospacing="0" w:after="0" w:afterAutospacing="0" w:line="360" w:lineRule="auto"/>
        <w:jc w:val="both"/>
        <w:rPr>
          <w:rFonts w:ascii="楷体" w:hAnsi="楷体" w:eastAsia="楷体" w:cs="仿宋_GB2312"/>
          <w:b/>
          <w:color w:val="000000"/>
          <w:sz w:val="28"/>
          <w:szCs w:val="28"/>
          <w:shd w:val="clear" w:color="auto" w:fill="FFFFFF"/>
        </w:rPr>
      </w:pPr>
      <w:r>
        <w:rPr>
          <w:rFonts w:hint="eastAsia" w:ascii="楷体" w:hAnsi="楷体" w:eastAsia="楷体" w:cs="仿宋_GB2312"/>
          <w:b/>
          <w:color w:val="000000"/>
          <w:sz w:val="28"/>
          <w:szCs w:val="28"/>
          <w:shd w:val="clear" w:color="auto" w:fill="FFFFFF"/>
        </w:rPr>
        <w:t>（二）持续改进措施</w:t>
      </w:r>
    </w:p>
    <w:p>
      <w:pPr>
        <w:spacing w:line="56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jc w:val="right"/>
        <w:rPr>
          <w:rFonts w:ascii="仿宋_GB2312" w:hAnsi="Times New Roman" w:eastAsia="仿宋_GB2312"/>
          <w:sz w:val="32"/>
          <w:szCs w:val="32"/>
        </w:rPr>
      </w:pPr>
    </w:p>
    <w:p>
      <w:pPr>
        <w:spacing w:line="560" w:lineRule="exact"/>
        <w:ind w:firstLine="560" w:firstLineChars="200"/>
        <w:jc w:val="right"/>
        <w:rPr>
          <w:rFonts w:ascii="仿宋_GB2312" w:hAnsi="Times New Roman" w:eastAsia="仿宋_GB2312"/>
          <w:sz w:val="28"/>
          <w:szCs w:val="32"/>
        </w:rPr>
      </w:pPr>
      <w:r>
        <w:rPr>
          <w:rFonts w:hint="eastAsia" w:ascii="仿宋_GB2312" w:hAnsi="Times New Roman" w:eastAsia="仿宋_GB2312"/>
          <w:sz w:val="28"/>
          <w:szCs w:val="32"/>
        </w:rPr>
        <w:t>课程负责人（签字）：</w:t>
      </w:r>
    </w:p>
    <w:p>
      <w:pPr>
        <w:spacing w:line="560" w:lineRule="exact"/>
        <w:ind w:right="640" w:firstLine="560" w:firstLineChars="200"/>
        <w:jc w:val="right"/>
        <w:rPr>
          <w:rFonts w:ascii="仿宋_GB2312" w:hAnsi="Times New Roman" w:eastAsia="仿宋_GB2312"/>
          <w:sz w:val="28"/>
          <w:szCs w:val="32"/>
        </w:rPr>
      </w:pPr>
      <w:r>
        <w:rPr>
          <w:rFonts w:hint="eastAsia" w:ascii="仿宋_GB2312" w:hAnsi="Times New Roman" w:eastAsia="仿宋_GB2312"/>
          <w:sz w:val="28"/>
          <w:szCs w:val="32"/>
        </w:rPr>
        <w:t>年</w:t>
      </w:r>
      <w:r>
        <w:rPr>
          <w:rFonts w:ascii="仿宋_GB2312" w:hAnsi="Times New Roman" w:eastAsia="仿宋_GB2312"/>
          <w:sz w:val="28"/>
          <w:szCs w:val="32"/>
        </w:rPr>
        <w:t xml:space="preserve">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仿宋_GB2312" w:hAnsi="宋体" w:eastAsia="仿宋_GB2312" w:cs="宋体"/>
          <w:color w:val="333333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b/>
          <w:color w:val="333333"/>
          <w:sz w:val="28"/>
          <w:szCs w:val="24"/>
          <w:shd w:val="clear" w:color="auto" w:fill="FFFFFF"/>
        </w:rPr>
        <w:t>要求：</w:t>
      </w:r>
      <w:r>
        <w:rPr>
          <w:rFonts w:hint="eastAsia" w:ascii="仿宋_GB2312" w:hAnsi="宋体" w:eastAsia="仿宋_GB2312" w:cs="宋体"/>
          <w:color w:val="333333"/>
          <w:sz w:val="24"/>
          <w:szCs w:val="24"/>
          <w:shd w:val="clear" w:color="auto" w:fill="FFFFFF"/>
        </w:rPr>
        <w:t>（1）案例字数控制在3000字左右（内含不少于3张PPT、照片插图）；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ascii="仿宋_GB2312" w:hAnsi="宋体" w:eastAsia="仿宋_GB2312" w:cs="宋体"/>
          <w:color w:val="333333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color w:val="333333"/>
          <w:sz w:val="24"/>
          <w:szCs w:val="24"/>
          <w:shd w:val="clear" w:color="auto" w:fill="FFFFFF"/>
        </w:rPr>
        <w:t>（2）文档采用WORD格式；纸型采用国际标准A4型（210mm×297mm）；页边距为上3.7厘米，下3.5厘米，左2.8厘米，右2.6厘米；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仿宋_GB2312" w:hAnsi="宋体" w:eastAsia="仿宋_GB2312" w:cs="宋体"/>
          <w:color w:val="333333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b/>
          <w:color w:val="333333"/>
          <w:sz w:val="28"/>
          <w:szCs w:val="24"/>
          <w:shd w:val="clear" w:color="auto" w:fill="FFFFFF"/>
        </w:rPr>
        <w:t>标题：</w:t>
      </w:r>
      <w:r>
        <w:rPr>
          <w:rFonts w:hint="eastAsia" w:ascii="仿宋_GB2312" w:hAnsi="宋体" w:eastAsia="仿宋_GB2312" w:cs="宋体"/>
          <w:color w:val="333333"/>
          <w:sz w:val="24"/>
          <w:szCs w:val="24"/>
          <w:shd w:val="clear" w:color="auto" w:fill="FFFFFF"/>
        </w:rPr>
        <w:t>用二号方正小标宋简体字体（如有副标题，左右用三号加黑楷体）；标题可分一行或多行居中排布，回行时要做到词意完整，排列对称，标题下空一行。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仿宋_GB2312" w:hAnsi="宋体" w:eastAsia="仿宋_GB2312" w:cs="宋体"/>
          <w:color w:val="333333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b/>
          <w:color w:val="333333"/>
          <w:sz w:val="28"/>
          <w:szCs w:val="24"/>
          <w:shd w:val="clear" w:color="auto" w:fill="FFFFFF"/>
        </w:rPr>
        <w:t>正文：</w:t>
      </w:r>
      <w:r>
        <w:rPr>
          <w:rFonts w:hint="eastAsia" w:ascii="仿宋_GB2312" w:hAnsi="宋体" w:eastAsia="仿宋_GB2312" w:cs="宋体"/>
          <w:color w:val="333333"/>
          <w:sz w:val="24"/>
          <w:szCs w:val="24"/>
          <w:shd w:val="clear" w:color="auto" w:fill="FFFFFF"/>
        </w:rPr>
        <w:t>用四号仿宋_GB2312字体，行距为1.5倍；首行缩进2字符；正文中插入的表格内文字使用宋体五号，行距为20磅，整个表格居中对齐；正文中的英文与数字使用TimesNewRoman字体。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hAnsi="宋体" w:eastAsia="仿宋_GB2312" w:cs="宋体"/>
          <w:color w:val="333333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color w:val="333333"/>
          <w:sz w:val="24"/>
          <w:szCs w:val="24"/>
          <w:shd w:val="clear" w:color="auto" w:fill="FFFFFF"/>
        </w:rPr>
        <w:t>正文中的结构序数：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hAnsi="宋体" w:eastAsia="仿宋_GB2312" w:cs="宋体"/>
          <w:color w:val="333333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color w:val="333333"/>
          <w:sz w:val="24"/>
          <w:szCs w:val="24"/>
          <w:shd w:val="clear" w:color="auto" w:fill="FFFFFF"/>
        </w:rPr>
        <w:t>一级标题及序号：一、二、三、……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hAnsi="宋体" w:eastAsia="仿宋_GB2312" w:cs="宋体"/>
          <w:color w:val="333333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color w:val="333333"/>
          <w:sz w:val="24"/>
          <w:szCs w:val="24"/>
          <w:shd w:val="clear" w:color="auto" w:fill="FFFFFF"/>
        </w:rPr>
        <w:t>二级标题及序号：（一）（二）（三）……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hAnsi="宋体" w:eastAsia="仿宋_GB2312" w:cs="宋体"/>
          <w:color w:val="333333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color w:val="333333"/>
          <w:sz w:val="24"/>
          <w:szCs w:val="24"/>
          <w:shd w:val="clear" w:color="auto" w:fill="FFFFFF"/>
        </w:rPr>
        <w:t>三级标题及序号：1．2．3．……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hAnsi="宋体" w:eastAsia="仿宋_GB2312" w:cs="宋体"/>
          <w:color w:val="333333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color w:val="333333"/>
          <w:sz w:val="24"/>
          <w:szCs w:val="24"/>
          <w:shd w:val="clear" w:color="auto" w:fill="FFFFFF"/>
        </w:rPr>
        <w:t>四级标题及序号：（1）（2）（3）……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_GB2312" w:hAnsi="宋体" w:eastAsia="仿宋_GB2312" w:cs="宋体"/>
          <w:color w:val="333333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color w:val="333333"/>
          <w:sz w:val="24"/>
          <w:szCs w:val="24"/>
          <w:shd w:val="clear" w:color="auto" w:fill="FFFFFF"/>
        </w:rPr>
        <w:t>五级标题及序号：①②③……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</w:pPr>
      <w:r>
        <w:rPr>
          <w:rFonts w:hint="eastAsia" w:ascii="仿宋_GB2312" w:hAnsi="宋体" w:eastAsia="仿宋_GB2312" w:cs="宋体"/>
          <w:color w:val="333333"/>
          <w:sz w:val="24"/>
          <w:szCs w:val="24"/>
          <w:shd w:val="clear" w:color="auto" w:fill="FFFFFF"/>
        </w:rPr>
        <w:t>正文中如有多级标题，第一级标题用黑体字，第二级标题用楷体字加粗，第三级标题用仿宋_GB2312字体加粗，第四级标题用仿宋_GB2312字体。所有标题独立成行，不加标点。页码一般用4号半角宋体阿拉伯数字，在页面底端居中。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hYTQ3MTkxY2VlMTEwZTVjZTllYjE1NWY5ODg4MTUifQ=="/>
  </w:docVars>
  <w:rsids>
    <w:rsidRoot w:val="36386ED8"/>
    <w:rsid w:val="1C2B3FFA"/>
    <w:rsid w:val="2A1234F3"/>
    <w:rsid w:val="36386ED8"/>
    <w:rsid w:val="41FA52CC"/>
    <w:rsid w:val="46C05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542</Words>
  <Characters>608</Characters>
  <Lines>0</Lines>
  <Paragraphs>0</Paragraphs>
  <TotalTime>4</TotalTime>
  <ScaleCrop>false</ScaleCrop>
  <LinksUpToDate>false</LinksUpToDate>
  <CharactersWithSpaces>618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2022-10-06T08:42:00Z</dcterms:created>
  <dc:creator>Alva姜姗</dc:creator>
  <cp:lastModifiedBy>Alva姜姗</cp:lastModifiedBy>
  <dcterms:modified xsi:type="dcterms:W3CDTF">2023-12-26T02:17:38Z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782C7A015AA84BA0B294124605556093_13</vt:lpwstr>
  </property>
</Properties>
</file>